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28449BC" w:rsidR="00F80181" w:rsidRDefault="00494A96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D07A5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 de noviembre</w:t>
      </w:r>
    </w:p>
    <w:p w14:paraId="5E07A0A3" w14:textId="302BCA5D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="00D07A5B">
        <w:rPr>
          <w:rFonts w:ascii="Baskerville Old Face" w:hAnsi="Baskerville Old Face"/>
          <w:b/>
          <w:i/>
          <w:sz w:val="16"/>
          <w:szCs w:val="16"/>
        </w:rPr>
        <w:t>Checklist for November 1</w:t>
      </w:r>
      <w:r w:rsidR="00DF2ECD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8FC1E66" w:rsidR="0047596C" w:rsidRPr="00D07A5B" w:rsidRDefault="00D07A5B" w:rsidP="00DF2ECD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proofErr w:type="spellStart"/>
      <w:r w:rsidRPr="00D07A5B">
        <w:rPr>
          <w:rFonts w:ascii="Baskerville Old Face" w:hAnsi="Baskerville Old Face"/>
          <w:sz w:val="20"/>
          <w:szCs w:val="20"/>
        </w:rPr>
        <w:t>Ser</w:t>
      </w:r>
      <w:proofErr w:type="spellEnd"/>
      <w:r w:rsidRPr="00D07A5B">
        <w:rPr>
          <w:rFonts w:ascii="Baskerville Old Face" w:hAnsi="Baskerville Old Face"/>
          <w:sz w:val="20"/>
          <w:szCs w:val="20"/>
        </w:rPr>
        <w:t xml:space="preserve"> vs. </w:t>
      </w:r>
      <w:proofErr w:type="spellStart"/>
      <w:r w:rsidRPr="00D07A5B">
        <w:rPr>
          <w:rFonts w:ascii="Baskerville Old Face" w:hAnsi="Baskerville Old Face"/>
          <w:sz w:val="20"/>
          <w:szCs w:val="20"/>
        </w:rPr>
        <w:t>estar</w:t>
      </w:r>
      <w:proofErr w:type="spellEnd"/>
      <w:r w:rsidR="00DF2ECD" w:rsidRPr="00D07A5B">
        <w:rPr>
          <w:rFonts w:ascii="Baskerville Old Face" w:hAnsi="Baskerville Old Face"/>
          <w:sz w:val="20"/>
          <w:szCs w:val="20"/>
        </w:rPr>
        <w:t xml:space="preserve"> </w:t>
      </w:r>
      <w:r w:rsidR="003E7314" w:rsidRPr="00D07A5B">
        <w:rPr>
          <w:rFonts w:ascii="Baskerville Old Face" w:hAnsi="Baskerville Old Face"/>
          <w:sz w:val="16"/>
          <w:szCs w:val="16"/>
        </w:rPr>
        <w:t>(</w:t>
      </w:r>
      <w:r w:rsidRPr="00D07A5B">
        <w:rPr>
          <w:rFonts w:ascii="Baskerville Old Face" w:hAnsi="Baskerville Old Face"/>
          <w:i/>
          <w:sz w:val="16"/>
          <w:szCs w:val="16"/>
        </w:rPr>
        <w:t>To be vs. to be</w:t>
      </w:r>
      <w:r w:rsidR="00DF2ECD" w:rsidRPr="00D07A5B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D07A5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48"/>
        <w:gridCol w:w="6067"/>
      </w:tblGrid>
      <w:tr w:rsidR="00DF2ECD" w:rsidRPr="00D07A5B" w14:paraId="3FB45283" w14:textId="04968C79" w:rsidTr="00DF2ECD">
        <w:tc>
          <w:tcPr>
            <w:tcW w:w="948" w:type="dxa"/>
          </w:tcPr>
          <w:p w14:paraId="6B6404D8" w14:textId="77777777" w:rsidR="00DF2ECD" w:rsidRPr="008B5579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67" w:type="dxa"/>
            <w:shd w:val="clear" w:color="auto" w:fill="F2F2F2" w:themeFill="background1" w:themeFillShade="F2"/>
          </w:tcPr>
          <w:p w14:paraId="015BCAA7" w14:textId="76C99E84" w:rsidR="00DF2ECD" w:rsidRDefault="00D07A5B" w:rsidP="00DF2EC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 ser vs. estar</w:t>
            </w:r>
          </w:p>
        </w:tc>
      </w:tr>
      <w:tr w:rsidR="00DF2ECD" w:rsidRPr="00494A96" w14:paraId="25C36633" w14:textId="3B736D06" w:rsidTr="00DF2ECD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2F0E3EE9" w14:textId="066F846F" w:rsidR="00DF2ECD" w:rsidRPr="00F4773C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4773C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1 de noviembre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CC1A72D" w14:textId="77777777" w:rsidR="00DF2ECD" w:rsidRPr="00932FE2" w:rsidRDefault="00DF2ECD" w:rsidP="00D07A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494A96" w14:paraId="762B4F2E" w14:textId="318647E9" w:rsidTr="00DF2ECD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DF2ECD" w:rsidRPr="00932FE2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0B445573" w14:textId="0DB317E1" w:rsidR="00DF2ECD" w:rsidRPr="003527C7" w:rsidRDefault="00DF2ECD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1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01CDB942" w:rsidR="00DF2ECD" w:rsidRDefault="00D07A5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1 de noviembre</w:t>
            </w:r>
            <w:r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BB5CC59" w14:textId="21C6B993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en la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1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86D45F4" w14:textId="5733A9DA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auditiva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A5817A2" w14:textId="632372DF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6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AAE90CE" w14:textId="6A9F6105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6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5F5E827" w14:textId="357E31D7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6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D81EA6" w14:textId="6F5A3A5D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366D1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-  (</w:t>
            </w:r>
            <w:proofErr w:type="gramEnd"/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F1C9128" w14:textId="5B15238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Cuento de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494A96" w14:paraId="32DBADA2" w14:textId="11646E78" w:rsidTr="00DF2ECD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DF2ECD" w:rsidRPr="00366D14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6549F4EC" w14:textId="3BCF16E5" w:rsidR="00366D14" w:rsidRDefault="00D07A5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(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92681E4" w14:textId="1920745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CD309F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4FAAC60" w14:textId="77777777" w:rsidR="00DF2ECD" w:rsidRPr="00494A96" w:rsidRDefault="00DF2ECD">
      <w:pPr>
        <w:rPr>
          <w:lang w:val="es-US"/>
        </w:rPr>
      </w:pPr>
    </w:p>
    <w:tbl>
      <w:tblPr>
        <w:tblStyle w:val="TableGrid"/>
        <w:tblW w:w="6067" w:type="dxa"/>
        <w:tblInd w:w="948" w:type="dxa"/>
        <w:tblLook w:val="04A0" w:firstRow="1" w:lastRow="0" w:firstColumn="1" w:lastColumn="0" w:noHBand="0" w:noVBand="1"/>
      </w:tblPr>
      <w:tblGrid>
        <w:gridCol w:w="6067"/>
      </w:tblGrid>
      <w:tr w:rsidR="00DF2ECD" w:rsidRPr="00C964BC" w14:paraId="136C6FE0" w14:textId="65F12AA9" w:rsidTr="001F7F08">
        <w:tc>
          <w:tcPr>
            <w:tcW w:w="6067" w:type="dxa"/>
            <w:shd w:val="clear" w:color="auto" w:fill="F2F2F2" w:themeFill="background1" w:themeFillShade="F2"/>
          </w:tcPr>
          <w:p w14:paraId="6C5A862D" w14:textId="77777777" w:rsidR="00DF2ECD" w:rsidRPr="003527C7" w:rsidRDefault="00DF2ECD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D10E22F" w14:textId="39B52E2A" w:rsidR="00DF2ECD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76B8D1CD" w14:textId="302F94B2" w:rsidR="007B2F6A" w:rsidRPr="007B2F6A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en la computadora</w:t>
            </w:r>
          </w:p>
          <w:p w14:paraId="41420914" w14:textId="77777777" w:rsidR="007B2F6A" w:rsidRDefault="007B2F6A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4BC1F3C0" w14:textId="2CCCA0D0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6AB0DBF2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8737003" w14:textId="1D6322FA" w:rsidR="00DF2ECD" w:rsidRPr="00C43FF2" w:rsidRDefault="00DF2ECD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bookmarkStart w:id="0" w:name="_GoBack"/>
            <w:bookmarkEnd w:id="0"/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7B2F6A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0D38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1F7F08"/>
    <w:rsid w:val="00204E15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66D14"/>
    <w:rsid w:val="00375C3C"/>
    <w:rsid w:val="00375D51"/>
    <w:rsid w:val="003853F2"/>
    <w:rsid w:val="00387937"/>
    <w:rsid w:val="00395D18"/>
    <w:rsid w:val="003A1E79"/>
    <w:rsid w:val="003C43C7"/>
    <w:rsid w:val="003D059E"/>
    <w:rsid w:val="003E7314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94A96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2C75"/>
    <w:rsid w:val="00753176"/>
    <w:rsid w:val="00763A38"/>
    <w:rsid w:val="00775766"/>
    <w:rsid w:val="007830AD"/>
    <w:rsid w:val="007A7B93"/>
    <w:rsid w:val="007B2F6A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37B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07A5B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DF2ECD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4773C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A81E8-EC50-4587-B190-A6A03D2A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2018-05-18T13:45:00Z</cp:lastPrinted>
  <dcterms:created xsi:type="dcterms:W3CDTF">2019-10-30T01:06:00Z</dcterms:created>
  <dcterms:modified xsi:type="dcterms:W3CDTF">2019-10-30T01:11:00Z</dcterms:modified>
</cp:coreProperties>
</file>